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8"/>
        <w:gridCol w:w="452"/>
      </w:tblGrid>
      <w:tr w:rsidR="00893218" w:rsidRPr="005869E0" w:rsidTr="00306612">
        <w:trPr>
          <w:trHeight w:val="31680"/>
          <w:tblCellSpacing w:w="0" w:type="dxa"/>
        </w:trPr>
        <w:tc>
          <w:tcPr>
            <w:tcW w:w="9428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893218" w:rsidRPr="00A32DAE" w:rsidRDefault="00C222AD" w:rsidP="00A850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40"/>
                <w:szCs w:val="40"/>
                <w:lang w:eastAsia="ru-RU"/>
              </w:rPr>
            </w:pPr>
            <w:r w:rsidRPr="00A32D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40"/>
                <w:szCs w:val="40"/>
                <w:lang w:eastAsia="ru-RU"/>
              </w:rPr>
              <w:t>Публичный отчет за 2020</w:t>
            </w:r>
            <w:r w:rsidR="00893218" w:rsidRPr="00A32D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40"/>
                <w:szCs w:val="40"/>
                <w:lang w:eastAsia="ru-RU"/>
              </w:rPr>
              <w:t xml:space="preserve"> год</w:t>
            </w:r>
          </w:p>
          <w:p w:rsidR="00893218" w:rsidRPr="00306612" w:rsidRDefault="00A32DAE" w:rsidP="00A850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Муниципального Бюджетного Дошкольного Образовательного У</w:t>
            </w:r>
            <w:r w:rsidR="00893218" w:rsidRPr="0030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чреждения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 Центр Развития Р</w:t>
            </w:r>
            <w:r w:rsidR="00C222AD" w:rsidRPr="0030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ебенка</w:t>
            </w:r>
          </w:p>
          <w:p w:rsidR="00893218" w:rsidRDefault="00743FC0" w:rsidP="00A850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детский сад №28 «Д</w:t>
            </w:r>
            <w:r w:rsidR="00C222AD" w:rsidRPr="0030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ельфин</w:t>
            </w:r>
            <w:r w:rsidR="00893218" w:rsidRPr="00306612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» </w:t>
            </w:r>
          </w:p>
          <w:p w:rsidR="00A32DAE" w:rsidRPr="00306612" w:rsidRDefault="00A32DAE" w:rsidP="00A32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E62F18" wp14:editId="17A958E7">
                  <wp:extent cx="4890053" cy="3743930"/>
                  <wp:effectExtent l="0" t="0" r="6350" b="9525"/>
                  <wp:docPr id="3" name="Рисунок 3" descr="C:\Users\User\Downloads\image-20-04-21-11-29-1.he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-20-04-21-11-29-1.he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7595" cy="3742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3218" w:rsidRPr="00306612" w:rsidRDefault="00893218" w:rsidP="00A850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  <w:p w:rsidR="00893218" w:rsidRPr="00306612" w:rsidRDefault="00893218" w:rsidP="00A850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Уважаемые родители, педагоги и гости!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Предлагаем  вашему вниманию публичный доклад, в котором представлены результаты деятельности нашего детского сада  за 2020 учебный год.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Цель публичного доклада - становление общественного диалога и развитие участия родителей и общественности в управлении учреждением.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Задача публичного доклада - предоставление достоверной информации о жизнедеятельности детского сада.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Предмет публичного доклада – анализ показателей, содержательно характеризующих жизнедеятельность ДОУ.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Общая характеристика образовательного учреждения</w:t>
            </w:r>
          </w:p>
          <w:p w:rsidR="00893218" w:rsidRPr="00306612" w:rsidRDefault="0038553C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МБДОУ ЦРР детский сад №28» открыт 10 ноября 1986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г.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Полное название учреждения: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 Муниципальное Бюджетное Дошкольное 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О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бразовател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ьное Учреждение  Центр Развития Ребенка детский сад №28 «Дельфин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».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Краткое название: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 МБДОУ 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ЦРР детский сад №28 «Дельфин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»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Учредитель: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городской округ «город Дербент»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Юридический  адрес: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368608,РД</w:t>
            </w:r>
            <w:proofErr w:type="gramStart"/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,г</w:t>
            </w:r>
            <w:proofErr w:type="gramEnd"/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Дербент,ул.С.Габиева</w:t>
            </w:r>
            <w:proofErr w:type="spellEnd"/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24а</w:t>
            </w:r>
          </w:p>
          <w:p w:rsidR="0038553C" w:rsidRPr="00306612" w:rsidRDefault="00893218" w:rsidP="003855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Фактический адрес: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368608,РД</w:t>
            </w:r>
            <w:proofErr w:type="gramStart"/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,г</w:t>
            </w:r>
            <w:proofErr w:type="gramEnd"/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Дербент,ул.С.Габиева</w:t>
            </w:r>
            <w:proofErr w:type="spellEnd"/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24а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Контактный телефон: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8 906 450 05 85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Адрес электронной почты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(</w:t>
            </w:r>
            <w:hyperlink r:id="rId8" w:history="1">
              <w:r w:rsidR="0038553C" w:rsidRPr="00306612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ds</w:t>
              </w:r>
              <w:r w:rsidR="0038553C" w:rsidRPr="00306612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28@</w:t>
              </w:r>
              <w:r w:rsidR="0038553C" w:rsidRPr="00306612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mail</w:t>
              </w:r>
              <w:r w:rsidR="0038553C" w:rsidRPr="00306612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="0038553C" w:rsidRPr="00306612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ru</w:t>
              </w:r>
              <w:proofErr w:type="spellEnd"/>
            </w:hyperlink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)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Сайт ДОУ </w:t>
            </w:r>
            <w:hyperlink r:id="rId9" w:history="1">
              <w:r w:rsidR="0038553C" w:rsidRPr="00306612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http://</w:t>
              </w:r>
              <w:r w:rsidR="0038553C" w:rsidRPr="00306612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dag</w:t>
              </w:r>
              <w:r w:rsidR="0038553C" w:rsidRPr="00306612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-28-</w:t>
              </w:r>
              <w:r w:rsidR="0038553C" w:rsidRPr="00306612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de</w:t>
              </w:r>
              <w:r w:rsidR="0038553C" w:rsidRPr="00306612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="0038553C" w:rsidRPr="00306612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tvoysadik</w:t>
              </w:r>
              <w:proofErr w:type="spellEnd"/>
              <w:r w:rsidR="0038553C" w:rsidRPr="00306612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="0038553C" w:rsidRPr="00306612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ru</w:t>
              </w:r>
              <w:proofErr w:type="spellEnd"/>
              <w:r w:rsidR="0038553C" w:rsidRPr="00306612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/</w:t>
              </w:r>
            </w:hyperlink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Целевая аудитория сайта - работники образования, родители и дети.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Государственный статус: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 тип – дошкольное образовательное учреждение; Действует на основании Закона РФ «Об образовании в Российской Федерации», «Порядка организации и осуществления образовательной деятельности  по основным общеобразовательным программам дошкольного образования», утверждённым приказом 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России от 30.08.2013 №2014 , Устава</w:t>
            </w: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муниципального бюджетного дошкольног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 образовательного учреждения центр развития ребенка детский сад №28 «Дельфин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».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Лицензия на право ведения образовательной деятельности: 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серия</w:t>
            </w:r>
            <w:r w:rsidR="00C222AD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05 ЛО</w:t>
            </w:r>
            <w:proofErr w:type="gramStart"/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1</w:t>
            </w:r>
            <w:proofErr w:type="gramEnd"/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 № 0000201, от 05.05.2012 регистрационный № 10205002001343 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г., предоставлена бессрочно.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Континген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Контингент воспитанников представлен детьми ран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него и дошкольного возраста (от</w:t>
            </w:r>
            <w:proofErr w:type="gramStart"/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</w:t>
            </w:r>
            <w:proofErr w:type="gramEnd"/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 до 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7 лет).</w:t>
            </w:r>
          </w:p>
          <w:p w:rsidR="00893218" w:rsidRPr="00306612" w:rsidRDefault="0038553C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детском саду функционирует  11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групп: </w:t>
            </w:r>
          </w:p>
          <w:p w:rsidR="00893218" w:rsidRPr="00306612" w:rsidRDefault="0038553C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1 группа раннего возраста  -  одна (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2-3 лет),</w:t>
            </w:r>
          </w:p>
          <w:p w:rsidR="00893218" w:rsidRPr="00306612" w:rsidRDefault="0038553C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2 младшая  группа  -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одна 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(3-4 года),</w:t>
            </w:r>
          </w:p>
          <w:p w:rsidR="00893218" w:rsidRPr="00306612" w:rsidRDefault="00C222AD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средние группы  - три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(4-5лет),</w:t>
            </w:r>
          </w:p>
          <w:p w:rsidR="00893218" w:rsidRPr="00306612" w:rsidRDefault="00C222AD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старшие группы – две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(4-6 лет), </w:t>
            </w:r>
          </w:p>
          <w:p w:rsidR="00893218" w:rsidRPr="00306612" w:rsidRDefault="0038553C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подготовительные к школе группы –  четыре (6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-7 лет)</w:t>
            </w:r>
          </w:p>
          <w:p w:rsidR="00893218" w:rsidRPr="00306612" w:rsidRDefault="0038553C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Количество мест  -</w:t>
            </w:r>
            <w:r w:rsidR="00C222AD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280</w:t>
            </w:r>
          </w:p>
          <w:p w:rsidR="00893218" w:rsidRPr="00306612" w:rsidRDefault="0038553C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Количество воспитанников – 278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Группы функционируют в режиме 5-дневной рабочей недели (выходные – суббота, воскресенье и праздничные дни)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Режим работы</w:t>
            </w:r>
          </w:p>
          <w:p w:rsidR="00893218" w:rsidRPr="00306612" w:rsidRDefault="0038553C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 с 7.00 до 19.00 –   с 12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часовым пребыванием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Структура управления ДОУ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Управляющая система состоит из двух структур: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I структура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lang w:eastAsia="ru-RU"/>
              </w:rPr>
              <w:t> 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– общественное управление:</w:t>
            </w:r>
          </w:p>
          <w:p w:rsidR="00893218" w:rsidRPr="00306612" w:rsidRDefault="00893218" w:rsidP="00893218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Педагогический совет;</w:t>
            </w:r>
          </w:p>
          <w:p w:rsidR="00893218" w:rsidRPr="00306612" w:rsidRDefault="00893218" w:rsidP="00893218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Общее  собрание;</w:t>
            </w:r>
          </w:p>
          <w:p w:rsidR="00893218" w:rsidRPr="00306612" w:rsidRDefault="00893218" w:rsidP="00893218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Родительский комитет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Их деятельность регламентируется Уставом ДОУ и соответствующими положениями.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II структура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– административное управление, которое имеет линейную структуру.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I уровень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– заведующий МБДОУ.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Для реализации функции управления образовательным процессом в ДОУ деятельность заведующего обеспечивает:</w:t>
            </w:r>
          </w:p>
          <w:p w:rsidR="00893218" w:rsidRPr="00306612" w:rsidRDefault="00893218" w:rsidP="00893218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материальные, организационные условия</w:t>
            </w:r>
          </w:p>
          <w:p w:rsidR="00893218" w:rsidRPr="00306612" w:rsidRDefault="00893218" w:rsidP="00893218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правовые условия</w:t>
            </w:r>
          </w:p>
          <w:p w:rsidR="00893218" w:rsidRPr="00306612" w:rsidRDefault="00893218" w:rsidP="00893218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социально – психологические условия для реализации функции управления образовательным процессом в ДОУ.</w:t>
            </w:r>
          </w:p>
          <w:p w:rsidR="00893218" w:rsidRPr="00306612" w:rsidRDefault="00893218" w:rsidP="00893218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Объект управления заведующего – весь коллектив сотрудников, родителей, детей.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II уровень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– старший воспитатель, завхоз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Объект управления – часть коллектива согласно функциональным обязанностям.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III  уровень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управления осуществляется воспитателями, специалистами и обслуживающим персоналом.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Объект управления – воспитанники и родители.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Непосредственное руководство и управление детским садом осуществляет заведующий детским садом, который назначается и освобождается от должности Учредителем.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соответствии с Программой развития учреждения: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Цель деятельности ДОУ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обновление модели дошкольного образовательного учреждения, направленной на обеспечени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е доступного качественного и всесторо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ннего воспитания и развития детей в соответствии с ФГОС.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Приоритетные задачи ДОУ: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·         Совершенствовать систему здоровье сберегающей и здоровье формирующей деятельности учреждения с учетом индивидуальных особенностей дошкольников.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·        Формировать гражданскую  позицию, патриотические чувства и любовь к прошлому, настоящему и будущему, на основе изучения традиций, литературы, культурного наследия</w:t>
            </w:r>
            <w:r w:rsidR="00C222AD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родного края.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·        Построение образовательной деятельности на основе индивидуальных особенностей каждого ребенка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·        Совершенствовать условия для развития и воспитания детей в контексте ФГОС.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</w:t>
            </w: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Особенности образовательного процесса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Содержание образования в детском саду определяется Программой развития учреждения, планом работы учреждения на текущий год, основной общеобразовательной программой учреждения, утвержд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енной приказом заведующего от 03.09.2020 г. № 1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адаптированной общеобразовательной программой дошкольного образования для воспитанников с тяжелыми  нарушением речи, утвержденной пр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иказом заведующего от 03.09.2020 г. № 1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рабочими программами педагогов.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ООП ДОУ 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разработана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и реализуется детским садом в соответствии с ФГОС ДО (приказ Министерства образования и науки Российской Федерации (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России) от 17 октября 2013 г. N 1155 г. "Об утверждении федерального государственного стандарта дошкольного образования")           на основе задач  следующих программ: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Основной образовательной программы дошкольного образования  «От рождения до школы» под редакцией Н.Е. 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Вераксы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М.А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Васильевой, Т.С .Комаровой 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«Комплексной образовательной программой дошкольного образования для детей с тяжелыми нарушениями речи (общим недоразвитием речи) с 3 до 7 лет»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Н.В. 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Нищева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парциальная программа «Ожидание чуда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» - программа музыкального образования детей раннего и до</w:t>
            </w:r>
            <w:r w:rsidR="00743FC0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школьного возраста</w:t>
            </w:r>
            <w:proofErr w:type="gramStart"/>
            <w:r w:rsidR="00743FC0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743FC0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Э. </w:t>
            </w:r>
            <w:proofErr w:type="spellStart"/>
            <w:r w:rsidR="00743FC0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Гераксина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-методики социокультурного и патриотического воспитания «Патриотическое воспитание детей 6-7 лет»,  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Комратова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Н.Г., Грибова Л.Ф.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</w:t>
            </w: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lastRenderedPageBreak/>
              <w:t>самостоятельной детской деятельности.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В соответствии с ФГОС 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ДО</w:t>
            </w:r>
            <w:proofErr w:type="gramEnd"/>
            <w:r w:rsidR="00C222AD"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при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 организации образовательного процесса педагоги используют технологии нового поколения: игровые, здоровье сберегающие, ИКТ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детском саду идет постоянный поиск путей работы методической службы. Педагогами накоплен определенный положительный опыт по таким проблемам, как использование нетрадиционных техник в художественно-эстетическом развитии детей, оздоровительная развивающая работа с детьми, сенсорное воспитание детей раннего возраста, использование музейной педагогики в патриотическом воспитании детей дошкольного возраста.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Организация специализированной (коррекционной) помощи детям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– работа педагога-психолога и  учителя-логопеда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Дополнительные образовательные услуги: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Дополнительное образование ведется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893218" w:rsidRPr="00306612" w:rsidRDefault="0038553C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«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Речевичок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» - обучение 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граммоте</w:t>
            </w:r>
            <w:proofErr w:type="spellEnd"/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Содержание программы   позволяет в занимательной игровой форме усвоить дошкольниками такие понятия, как звук и буква, понять их различия и особенности. Занятия провод</w:t>
            </w:r>
            <w:r w:rsidR="00C222AD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ит воспитатель –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Адилова</w:t>
            </w:r>
            <w:proofErr w:type="spellEnd"/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Ф.И.</w:t>
            </w:r>
          </w:p>
          <w:p w:rsidR="00743FC0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                              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       </w:t>
            </w:r>
          </w:p>
          <w:p w:rsidR="00893218" w:rsidRPr="00306612" w:rsidRDefault="0038553C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«Студия национального танца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»</w:t>
            </w:r>
          </w:p>
          <w:p w:rsidR="00893218" w:rsidRPr="00306612" w:rsidRDefault="0038553C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Программа «Студии национального танца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» предназначена для преподавания основ хореографического искусства в режиме внеурочных занятий</w:t>
            </w:r>
            <w:proofErr w:type="gramStart"/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направлена на развитие творческих способностей ребёнка в области познания искусст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ва танца народов Дагестана. Занятия проводит руководитель Нагиева У.Г.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«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Развивайка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»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Важным условием реализации программы является психолого-педагогическая поддержка воспитанников, создание на занятиях комфортной атмосферы для развития индивидуальных способностей детей. В программе  комплексного сопровождения психического развития  детей дошкольного возраста представлены тематические занятия, направленные на развитие интеллектуальной, эмоциональной, коммуникативной, личностной, волевой, и познавательной сферы детей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Занятия проводит </w:t>
            </w:r>
            <w:r w:rsidR="0038653E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педагог –психолог Азизова Б.М.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  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 «Цветные ладошки»</w:t>
            </w:r>
          </w:p>
          <w:p w:rsidR="0038653E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Актуальность программы заключается в целенаправленной деятельности по обучению основным навыкам  нетрадиционных форм художественно-творческой деятельности, необходимой для дальнейшего развития детского творчества, становлению таких мыслительных операций как   анализ,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,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,,синтез, сравнение, уподобление, обобщение, которые делают возможными усложнения всех видов деятельности (игровой, художественной, познавательной, учебной).Занятия пров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одит воспитатель</w:t>
            </w:r>
          </w:p>
          <w:p w:rsidR="00893218" w:rsidRPr="00306612" w:rsidRDefault="0038653E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С.-А.М.</w:t>
            </w:r>
            <w:r w:rsidR="0038553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Занятия</w:t>
            </w:r>
            <w:r w:rsidR="000B57D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и студий 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проводятся 1 раз в недел</w:t>
            </w:r>
            <w:r w:rsidR="0038653E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ю по подгруппам</w:t>
            </w:r>
            <w:proofErr w:type="gramStart"/>
            <w:r w:rsidR="0038653E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Условия осуществления образовательного процесса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В нашем учреждении обеспечены оптимальные условия для качественного проведения 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-образовательной деятельности с детьми по реализации основной общеобразовательной программы дошкольного образования в соответствии с рекомендациями федерального государственного образовательного стандарта.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      В детском саду создана принципиально новая макро и 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микро среда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развития ребенка. Имеются следующие виды образовательных пространств: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внешнее пространство: прогулочные участки с песочницами, клумбами, спортивными сооружениями, постройками для самостоятельной детской деятельности и организации сюжетно-ролевых игр., спортивная площадка, огород, площадка по профилактике ПДД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Внутреннее пространство:  все групповые помещения  оборудованы согласно требованиям действующего  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СанПин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образовательная среда создана с учётом возрастных возможностей детей, индивидуальных особенностей воспитанников и конструируется таким образом, чтобы в течение дня каждый ребёнок мог найти для себя увлекательное занятие. Пространство группы  организовано в виде 3  секторов 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:с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ектор активности, рабочий сектор, сектор спокойной деятельности, включающих в себя     хорошо разграниченные «центры», оснащенные большим количеством развивающих материалов (книги, игрушки, материалы для творчества, развивающее оборудование и пр.). Все предметы  доступны детям. Оснащение центров  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меняется в соответствии с тематическим планированием образовательного процесса РППС групп постоянно пополняется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благодаря усилиям педагогов, помощи родителей. Эстетическое оформление групповых комнат способствует благоприятному психологическому климату,  эмоциональному благополучию детей.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 В макросреде ДОУ имеется музыкальный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спортивный зал, логопедический кабинет, кабинет психолога . Функционируют 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выставки  «Боевой славы» , «Есть такая профессия -Родину защищать» ,  в целях воспитания будущих  защитников Отечества , чувства любви к Родине, уважительного отношения  к прошлому, людям разных национальностей  работает  выставка         фольклора «Моя маленькая Родина» ,проводятся фольклорные праздники и р</w:t>
            </w:r>
            <w:r w:rsidR="00743FC0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азвлечения – </w:t>
            </w:r>
            <w:proofErr w:type="spellStart"/>
            <w:r w:rsidR="00743FC0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Новруз</w:t>
            </w:r>
            <w:proofErr w:type="spellEnd"/>
            <w:r w:rsidR="00743FC0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байрам 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Создана и пополняется  «Галерея безопасности», где дети изучают и закрепляют ПДД.   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В детском саду создана изостудия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где находятся  мольберты для рисования ,   магнитные доски для творчества , там же расположена галерея творчества воспитанников и их родителей,  где  организуются тематические выставки  по сезонам, посвященным государственным праздникам . Здесь дети занимаются в кружке «Цветные ладошки» и проводятся занятия по художественно- эстетическому воспитанию 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 В детском саду уделяется особое внимание эстетическому оформлению помещений, т.к. среда играет большую роль в формировании личностных качеств дошкольников: интерьер ДОУ оформляется панно и композициями в соответ</w:t>
            </w:r>
            <w:r w:rsidR="00743FC0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ствии с сезоном, в коридоре 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расположена сменяемая  фото галерея «Мир моих увлечений», где 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показано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чем наши воспитанники увлекаются вне стен нашего дошкольного учреждения.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Здесь  расположена сменяемая по сезонам  фото галерея «Природы верные друзья»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где отражено, как дети приобщаются к природе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  В ДОУ имеется комплект  стильных декораций для оформления музыкального зала к праздникам и в повседневное время.   Имеется выставка «Мини планетарий»</w:t>
            </w:r>
            <w:r w:rsidR="00696FDD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Звездочка», где наших воспитанников встречает настоящий Звездочет и знакомит их со строением солнечной системы, рассказывает о звездах и планетах.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Большое внимание в ДОУ  уделяется работе специалистов : педагога-психолога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учителя логопеда 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       Кабинет учителя 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–л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огопеда пополнился новым оборудованием многофункциональным ковриком «Моя деревня» ,  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бизибордами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,  столом для игр с песком 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  В кабинете психолога психологическая работа ведется по следующим направлениям: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Психопрофилактическая работа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   изучение психологических особенностей детей, их интересов, способностей и склонностей с целью 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обеспечения индивидуального подхода к каждому ребенку.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Сопроводительно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-развивающая работа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  обучение методам и приемам 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преодаление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эмоциональных стрессовых реакций.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Консультативная работа: консультирование педагогов и родителей по проблемам обучения и воспитания детей.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    Кабинет педагога-психолога можно рассматривать как своеобразное поле взаимодействия практического психолога с детьми разного возраста, их родителями и воспитателями.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          В ДОУ проведена большая работа по оснащению кабинета педагога-психолога. Было приобретено следующее оборудование : волшебный дождь, 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геоборты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бизиборды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многофункциональный коврик    «Моя деревня», многофункциональный  стол «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Эбрис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», студия для 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аквоанимации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«Океан возможностей», сухой ц</w:t>
            </w:r>
            <w:r w:rsidR="00743FC0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ветной душ</w:t>
            </w:r>
            <w:proofErr w:type="gramStart"/>
            <w:r w:rsidR="00743FC0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743FC0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интерактивная доска и тумба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комплекты для занятий с песком и водой 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          Программно-методическое обеспечение педагогов осуществляется в методическом кабинете, где имеется необходимая литература, 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медиатека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наглядные пособия по всем направлениям деятельности детского сада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-образовательный процесс имеет информационно-техническое обеспечение: компьютеры, принтеры,  мультимедийная система в музыкальном зале, интерактивная доска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интерактивная тумба, демонстрационные экраны и проекторы в группах детей среднего и старшего дошкольного возраста. Использование в ДОУ информационных ресурсов обеспечивает успешность деятельности дошкольного учреждения в условиях информатизации образования; дает возможность получения необходимой информации с помощью методов и средств электронного сбора (информационные ресурсы сети 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Internet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коммуникационные и информационные ресурсы ДОУ).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Социальная активность и социальное партнерство ДОУ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образования. Мы считаем, что развитие социальных связей детского сада и учреждений социально-педагогической среды   дает дополнительный импульс для духовного развития и обогащения личности ребенка с первых лет жизни, поднимает статус учреждения, указывает на особую роль его социальных связей в развитии каждой личности, что в конечном итоге ведет к повышению качества дошкольного образования. </w:t>
            </w:r>
          </w:p>
          <w:p w:rsidR="00893218" w:rsidRPr="00306612" w:rsidRDefault="00696FDD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    МБДОУ д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етс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кий сад № 28  «Дельфин</w:t>
            </w:r>
            <w:proofErr w:type="gramStart"/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»-</w:t>
            </w:r>
            <w:proofErr w:type="gramEnd"/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успешно сотрудничает с различными организациями: образовательными, медицинскими,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культурными :  МБОУ СОШ №21,  ГИБДД,  детская поликлиника, </w:t>
            </w:r>
            <w:proofErr w:type="spellStart"/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городский</w:t>
            </w:r>
            <w:proofErr w:type="spellEnd"/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исторический музей.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Взаимодействие с родительской общественностью.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современных условиях образовательное учреждение является единственным общественным институтом, регулярно и неформально взаимодействующим с семьей, то есть имеющим возможность оказывать на неё определенное влияние.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основу совместной деятельности семьи и дошкольного учреждения заложены следующие принципы: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·? единый подход к процессу воспитания ребёнка;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·? открытость дошкольного учреждения для родителей;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·? взаимное доверие во взаимоотношениях педагогов и родителей;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·? уважение и доброжелательность друг к другу;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·? дифференцированный подход к каждой семье;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·? равно ответственность родителей и педагогов.</w:t>
            </w:r>
          </w:p>
          <w:p w:rsidR="00696FDD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 В нашем ДОУ используются разнообразные  формы и направления работы детского сада с семьей:  анализ воспитательных возможностей семьи, повышение компетентности родителей в вопросах развития детей, совместная деятельностей детей, педагогов и родителей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Большое внимание уделяется информационной открытости образовательного процесса : продо</w:t>
            </w:r>
            <w:r w:rsidR="00696FDD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лжает работу  сайт ДОУ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Наличие сайта обеспечивает доступность информации для потенциальных потребителей. Сайт учреждения обновляется регулярно.</w:t>
            </w:r>
          </w:p>
          <w:p w:rsidR="00893218" w:rsidRPr="00306612" w:rsidRDefault="0038653E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интерьере ДОУ имеются информационные стенды с различной тематикой (паспорт ДОУ, «Уроки безопасности», «Права ребенка»,</w:t>
            </w:r>
            <w:r w:rsidR="00696FDD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«Уголок безопасности»</w:t>
            </w:r>
            <w:proofErr w:type="gramStart"/>
            <w:r w:rsidR="00696FDD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,»</w:t>
            </w:r>
            <w:proofErr w:type="gramEnd"/>
            <w:r w:rsidR="00696FDD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96FDD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Ковид</w:t>
            </w:r>
            <w:proofErr w:type="spellEnd"/>
            <w:r w:rsidR="00696FDD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- 19»,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«Правила приема» и другие).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  Особый интерес вызывает организация совместной деятельности детского сада и семьи: уже традиционными стал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и-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выста</w:t>
            </w:r>
            <w:r w:rsidR="00696FDD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вки совместного творчества «Весна-красна», </w:t>
            </w:r>
            <w:r w:rsidR="00690A27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«Зажги синим», «С физкуль</w:t>
            </w:r>
            <w:r w:rsidR="0038653E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турой  в дружбе»,</w:t>
            </w:r>
            <w:r w:rsidR="00696FDD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 Мы правнуки победы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», функционирует постояннодействующая выставка «Мир наших увлечений», где представлены плоды творчества всех участников образовательного процесса.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  Регулярно проводятся семейные музыкальные праздники, оптимизирующие и гармонизирующие эмоциональные отношения между родителями и детьми.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Сохранение и укрепление физического и психического здоровья воспитанников.</w:t>
            </w:r>
          </w:p>
          <w:p w:rsidR="0038653E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</w:t>
            </w:r>
          </w:p>
          <w:p w:rsidR="00893218" w:rsidRPr="00306612" w:rsidRDefault="0038653E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 xml:space="preserve"> Охрана 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здоровья  детей  относится  к  числу  приоритетных  задач  ДОУ.  Для сохранения  физического  и  психического  здоровья  большое  внимание  уделяется  режиму  дня,  расписанию    образовательной  деятельности</w:t>
            </w:r>
            <w:proofErr w:type="gramStart"/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,</w:t>
            </w:r>
            <w:proofErr w:type="gramEnd"/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соблюдению  санитарно-гигиенических  норм.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Медицинское обслуживание в учреждении обеспечивается медицинским персонал</w:t>
            </w:r>
            <w:r w:rsidR="00696FDD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ом (медсестрой </w:t>
            </w:r>
            <w:proofErr w:type="spellStart"/>
            <w:r w:rsidR="00696FDD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Маиловой</w:t>
            </w:r>
            <w:proofErr w:type="spellEnd"/>
            <w:r w:rsidR="00696FDD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Н.Р</w:t>
            </w:r>
            <w:r w:rsidR="0038653E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. врачом-педиатром </w:t>
            </w:r>
            <w:r w:rsidR="00A32DAE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Амирханова </w:t>
            </w:r>
            <w:r w:rsidR="0038653E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С.С.</w:t>
            </w:r>
            <w:proofErr w:type="gramStart"/>
            <w:r w:rsidR="0038653E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)</w:t>
            </w:r>
            <w:proofErr w:type="gramEnd"/>
            <w:r w:rsidR="0038653E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Совместная работа педагогов и медицинского персонала детского сада позволила снизить уровень заболеваемости воспитанников.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9"/>
              <w:gridCol w:w="590"/>
              <w:gridCol w:w="614"/>
              <w:gridCol w:w="614"/>
            </w:tblGrid>
            <w:tr w:rsidR="00893218" w:rsidRPr="00306612" w:rsidTr="00A850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696FDD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696FDD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696FDD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2020</w:t>
                  </w:r>
                </w:p>
              </w:tc>
            </w:tr>
            <w:tr w:rsidR="00893218" w:rsidRPr="00306612" w:rsidTr="00A850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Пропуски по болезни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690A27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="00893218"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690A27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="00893218"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690A27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3</w:t>
                  </w:r>
                  <w:r w:rsidR="00893218"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</w:t>
                  </w:r>
                </w:p>
              </w:tc>
            </w:tr>
            <w:tr w:rsidR="00893218" w:rsidRPr="00306612" w:rsidTr="00A850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Пропуски по другим причинам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743FC0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="00893218"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743FC0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="00893218"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690A27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743FC0"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893218"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38</w:t>
                  </w:r>
                </w:p>
              </w:tc>
            </w:tr>
            <w:tr w:rsidR="00893218" w:rsidRPr="00306612" w:rsidTr="00A850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Заболеваемость в случаях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696FDD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</w:t>
                  </w:r>
                  <w:r w:rsidR="00893218"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115</w:t>
                  </w:r>
                </w:p>
              </w:tc>
            </w:tr>
            <w:tr w:rsidR="00893218" w:rsidRPr="00306612" w:rsidTr="00A850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Пропуски по болезни на 1 </w:t>
                  </w:r>
                  <w:proofErr w:type="spellStart"/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696FDD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893218"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696FDD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5</w:t>
                  </w:r>
                  <w:r w:rsidR="00893218"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696FDD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893218"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,9</w:t>
                  </w:r>
                </w:p>
              </w:tc>
            </w:tr>
            <w:tr w:rsidR="00893218" w:rsidRPr="00306612" w:rsidTr="00A850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Коэффициент посещаемости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77%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690A27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</w:t>
                  </w:r>
                  <w:r w:rsidR="00893218"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696FDD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="00690A27"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="00893218"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</w:tbl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В соответствии с планом, в детском саду организованы следующие противоэпидемиологические мероприятия: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ежедневный осмотр детей с термометрией;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кварцевание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провертивание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групповых помещений по определённому графику;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соблюдение дезинфицирующего режима;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сезонная профилактика с применением витаминов и иммуностимуляторов растительного происхождения. 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lang w:eastAsia="ru-RU"/>
              </w:rPr>
              <w:t>  </w:t>
            </w: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Качество и организация питания</w:t>
            </w: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 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детей  немаловажный  фактор  сохранения  здоровья  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дошкольников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которое  является  необходимым  условием  их  гармоничного  роста,  физического  и  нервно-психического  развития,  устойчивости  к  воздействию  инфекций  и  других  неблагоприятных  факторов  внешней  среды. Данному  вопросу  в  ДОУ  уделяется  большое  внимание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Организация питания воспитанников детского сада осуществляется в соответствии с утвержденными 10-дневными меню, разработанным на основе СанПиН.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На каждое блюдо имеется технологи</w:t>
            </w:r>
            <w:r w:rsidR="00696FDD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ческая карта. Дети получают т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ре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х-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разовое питание</w:t>
            </w:r>
            <w:r w:rsidR="00696FDD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для групп с режимом работы 12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часов . Имеются договора на поставку продуктов питания, все партии имеют сертификат качества. Качество привозимых продуктов и приготовленных 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 xml:space="preserve">блюд контролируется специально созданной комиссией,  в состав которой входят медицинский и педагогические работники учреждения, а также председатель профсоюзного комитета детского сада. Питание предусматривает включение в меню витаминизированных напитков на 2 завтрак, использование йодированной соли. В группах организован питьевой режим на кипячёной воде, ведется особый 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его соблюдением. 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Таким  образом,  полученные  результаты  свидетельствуют  о  налаженной  системе  работы,  повышении  качества  профилактической  работы  по  оздоровлению  детей,  в  том  числе  за  счет  создания  предметно-развивающей  среды,  организации  физкультурно-оздоровительной  работы,  организации  рационального  питания,  соблюдения  санитарно-гигиенических  условий,  использования  естественных  факторов  природы.  Проблемой  остается  заболеваемость  детей  после  праздников  и  выходных  дней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Общее  санитарно-гигиеническое  состояние  ДОУ  соответствует  требованиям  Роспотребнадзора:  питьевой,  световой  и  воздушный  режимы  соответствуют  нормам.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proofErr w:type="gramStart"/>
            <w:r w:rsidRPr="0030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Прирост  уровня  физических  качеств  детей  ДОУ  за  год  достигнут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  за  счет  естественного  роста  детей  и  целенаправленной  системы  физического  воспитания.  Во  всех  группах  соблюдается  режим  дня,  режим  двигательной  активности  и  режим  рационального  питания.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·        </w:t>
            </w:r>
            <w:r w:rsidRPr="0030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Далее, необходимо  продолжать  работу  по  профилактике  простудных  заболеваний.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·        </w:t>
            </w:r>
            <w:r w:rsidRPr="0030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Воспитателям  всех  возрастных групп  продолжать  работу  по  формированию  навыков  здорового  образа  жизни:  культурно-гигиенических  навыков  и  профилактике  детского  травматизма.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·        </w:t>
            </w:r>
            <w:r w:rsidRPr="0030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Поиск новых  эффективных  форм взаимодействия  с  родителями  по  вопросам  охраны  здоровья  детей.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  </w:t>
            </w: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Обеспечение безопасности.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      Одним из важнейших направлений административной работы в детском саду является обеспечение безопасности и охрана труда.  С этой целью систематически проводится инструктаж по технике безопасности, по охране жизни и здоровья детей и сотрудников, по противопожарной безопасности, знакомство с  должностными инструкциями и правилами внутреннего трудового распорядка, санитарными правилами, а также с 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правилами работы с техническим оборудованием.   Выполнение вышеуказанных инструкций и правил контролируется представителями профсоюзной организации детского сада и администрацией. Кроме того, систематически проводится осмотр  электрического и технического оборудования, состояние рабочих мест, выдается спецодежда, моющие средства. Детский сад оборудован специальными системами безопасности: работает круглосуточная охрана,  функционирует  автоматическая пожарная сигнализация, организо</w:t>
            </w:r>
            <w:r w:rsidR="00F1042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ван экстренный вызов нарядов</w:t>
            </w:r>
            <w:r w:rsidR="00690A27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="00F1042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ЧОП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при получении тревоги ( тревожная кнопка)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,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пути возможной эвакуации оборудованы световыми табло «Выход», установлено  видеонаблюдение.</w:t>
            </w:r>
            <w:r w:rsidR="00BA215B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  ДОУ  ежемесячно  в  рамках  оперативного  контроля  отслеживается состояние  мебели  в  группах; санитарное  состояние  всех  помещений  ДОУ  и  его  территории; соблюдение  режимных  моментов,  организация  двигательного  режима.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Среда  обеспечивает  функциональную  надежность,  психологическую  комфортность  и  безопасность.  Все  помещения  ДОУ  изолированы  и  функционируют  по  назначению.  Все  оборудование  безопасно  и  имеет  соответствующие  сертификаты,  подтверждающие  безопасность  материалов  и  оборудования. Расположение  мебели,  игрового  материала  отвечает  требованиям  техники  безопасности,  санитарно-гигиеническим  нормам,  физиологии  детей,  принципам  функционального  комфорта.  Оборудование  групповых  комнат устойчивое,  безопасное  в  употреблении,  удобное  для  самостоятельного  пользования  детьми. Дидактический  материал,  пособия  и  игрушки, подобранны  в  соответствии  с  возрастом  каждой  группы  детей. Территория  ДОУ  имеет  ограждение  по  всему  периметру,  на  ней  имеются  оборудованные  прогулочные  площадки,  разбиты  цветники,  мини-огород,  есть  хозяйственная  территория. Территория  ДОУ  освещена,  подъездные  пути  закрыты,  регулярно  осматривается  на  предмет  безопасности.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Педагоги ДОУ в рамках образовательного процесса изучают с детьми правила безопасности в быту, в природе, в социуме, а также во всех видах детской деятельности. Такие мероприятия проходят по специально составленному плану через беседы, практическую деятельность, решение проблемных ситуаций, праздники и развлечения.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Таким 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образом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 ДОУ созданы все необходимые условия для обеспечения безопасности воспитанников и персонала     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Достижения воспитанников, педагогов, ДОУ </w:t>
            </w:r>
          </w:p>
          <w:p w:rsidR="00306612" w:rsidRPr="00306612" w:rsidRDefault="00893218" w:rsidP="003066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течение всего года педагоги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дети, родители принимали активное участие в творческих конкурсах различного уровня :</w:t>
            </w:r>
            <w:r w:rsidR="00306612" w:rsidRPr="003066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4"/>
              <w:gridCol w:w="2071"/>
              <w:gridCol w:w="2381"/>
              <w:gridCol w:w="2042"/>
            </w:tblGrid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Конкурс </w:t>
                  </w: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Дата проведения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Участники (по - фамильно) 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Результат </w:t>
                  </w:r>
                </w:p>
              </w:tc>
            </w:tr>
            <w:tr w:rsidR="00306612" w:rsidRPr="00306612" w:rsidTr="00811F22">
              <w:tc>
                <w:tcPr>
                  <w:tcW w:w="14786" w:type="dxa"/>
                  <w:gridSpan w:val="4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Всероссийский уровень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6612" w:rsidRPr="00306612" w:rsidTr="00811F22">
              <w:tc>
                <w:tcPr>
                  <w:tcW w:w="14786" w:type="dxa"/>
                  <w:gridSpan w:val="4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Региональный уровень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 Организованная образовательная деятельность в детском саду»</w:t>
                  </w: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26.09.2019 год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Нагиева Л.Н.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«Науки дошколят питают»</w:t>
                  </w: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05.02.2020 год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Абдулкадирова</w:t>
                  </w:r>
                  <w:proofErr w:type="spellEnd"/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Г.М.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Диплом 2 степени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6612" w:rsidRPr="00306612" w:rsidTr="00811F22">
              <w:tc>
                <w:tcPr>
                  <w:tcW w:w="14786" w:type="dxa"/>
                  <w:gridSpan w:val="4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Муниципальный уровень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«Науки дошколят питают»</w:t>
                  </w: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28.11.2019 год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Бабаев Мухаммад. </w:t>
                  </w: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Гацайниева</w:t>
                  </w:r>
                  <w:proofErr w:type="spellEnd"/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Амина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1 место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«Ими гордиться Дагестан»</w:t>
                  </w: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27.02.2020 год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Диплом участника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«Золотой голос детского сада»</w:t>
                  </w: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27.01.2020 год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Гаджиев Ислам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 место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06612" w:rsidRPr="00306612" w:rsidRDefault="00306612" w:rsidP="003066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6612" w:rsidRPr="00306612" w:rsidRDefault="00306612" w:rsidP="00306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6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Результативность участия работников образовательных учреждений в конкурсах </w:t>
            </w:r>
          </w:p>
          <w:tbl>
            <w:tblPr>
              <w:tblW w:w="148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96"/>
              <w:gridCol w:w="3529"/>
              <w:gridCol w:w="3864"/>
              <w:gridCol w:w="3761"/>
            </w:tblGrid>
            <w:tr w:rsidR="00306612" w:rsidRPr="00306612" w:rsidTr="00CF7FB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Конкурс </w:t>
                  </w:r>
                </w:p>
              </w:tc>
              <w:tc>
                <w:tcPr>
                  <w:tcW w:w="3529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Дата проведения</w:t>
                  </w:r>
                </w:p>
              </w:tc>
              <w:tc>
                <w:tcPr>
                  <w:tcW w:w="3864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Участники (по - фамильно) </w:t>
                  </w:r>
                </w:p>
              </w:tc>
              <w:tc>
                <w:tcPr>
                  <w:tcW w:w="3761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Результат </w:t>
                  </w:r>
                </w:p>
              </w:tc>
            </w:tr>
            <w:tr w:rsidR="00306612" w:rsidRPr="00306612" w:rsidTr="00811F22">
              <w:tc>
                <w:tcPr>
                  <w:tcW w:w="14850" w:type="dxa"/>
                  <w:gridSpan w:val="4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Всероссийский уровень</w:t>
                  </w:r>
                </w:p>
              </w:tc>
            </w:tr>
            <w:tr w:rsidR="00306612" w:rsidRPr="00306612" w:rsidTr="00CF7FB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«Мы наследники победы»</w:t>
                  </w:r>
                </w:p>
              </w:tc>
              <w:tc>
                <w:tcPr>
                  <w:tcW w:w="3529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15.04.2021 год</w:t>
                  </w:r>
                </w:p>
              </w:tc>
              <w:tc>
                <w:tcPr>
                  <w:tcW w:w="3864" w:type="dxa"/>
                </w:tcPr>
                <w:p w:rsidR="00306612" w:rsidRPr="00306612" w:rsidRDefault="00306612" w:rsidP="00CF7FB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Гамзаева</w:t>
                  </w:r>
                  <w:proofErr w:type="spellEnd"/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Х.А.</w:t>
                  </w:r>
                </w:p>
              </w:tc>
              <w:tc>
                <w:tcPr>
                  <w:tcW w:w="3761" w:type="dxa"/>
                </w:tcPr>
                <w:p w:rsidR="00306612" w:rsidRPr="00306612" w:rsidRDefault="00306612" w:rsidP="00306612">
                  <w:pPr>
                    <w:spacing w:after="0" w:line="240" w:lineRule="atLeast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 место</w:t>
                  </w:r>
                </w:p>
              </w:tc>
            </w:tr>
            <w:tr w:rsidR="00306612" w:rsidRPr="00306612" w:rsidTr="00CF7FB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«Мы наследники победы»</w:t>
                  </w:r>
                </w:p>
              </w:tc>
              <w:tc>
                <w:tcPr>
                  <w:tcW w:w="3529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17.04. 2021 год</w:t>
                  </w:r>
                </w:p>
              </w:tc>
              <w:tc>
                <w:tcPr>
                  <w:tcW w:w="3864" w:type="dxa"/>
                </w:tcPr>
                <w:p w:rsidR="00306612" w:rsidRPr="00306612" w:rsidRDefault="00306612" w:rsidP="00CF7FB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Яхияева</w:t>
                  </w:r>
                  <w:proofErr w:type="spellEnd"/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Т.Н.</w:t>
                  </w:r>
                </w:p>
              </w:tc>
              <w:tc>
                <w:tcPr>
                  <w:tcW w:w="3761" w:type="dxa"/>
                </w:tcPr>
                <w:p w:rsidR="00306612" w:rsidRPr="00306612" w:rsidRDefault="00306612" w:rsidP="00306612">
                  <w:pPr>
                    <w:spacing w:after="0" w:line="240" w:lineRule="atLeast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2место</w:t>
                  </w:r>
                </w:p>
              </w:tc>
            </w:tr>
            <w:tr w:rsidR="00306612" w:rsidRPr="00306612" w:rsidTr="00CF7FB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«Мы наследники победы»</w:t>
                  </w:r>
                </w:p>
              </w:tc>
              <w:tc>
                <w:tcPr>
                  <w:tcW w:w="3529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17.04.2021 год</w:t>
                  </w:r>
                </w:p>
              </w:tc>
              <w:tc>
                <w:tcPr>
                  <w:tcW w:w="3864" w:type="dxa"/>
                </w:tcPr>
                <w:p w:rsidR="00306612" w:rsidRPr="00306612" w:rsidRDefault="00306612" w:rsidP="00CF7FB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Нурова</w:t>
                  </w:r>
                  <w:proofErr w:type="spellEnd"/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Ш.Т.</w:t>
                  </w:r>
                </w:p>
              </w:tc>
              <w:tc>
                <w:tcPr>
                  <w:tcW w:w="3761" w:type="dxa"/>
                </w:tcPr>
                <w:p w:rsidR="00306612" w:rsidRPr="00306612" w:rsidRDefault="00306612" w:rsidP="00306612">
                  <w:pPr>
                    <w:spacing w:after="0" w:line="240" w:lineRule="atLeast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 место</w:t>
                  </w:r>
                </w:p>
              </w:tc>
            </w:tr>
            <w:tr w:rsidR="00306612" w:rsidRPr="00306612" w:rsidTr="00CF7FB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«Портал педагога»</w:t>
                  </w:r>
                </w:p>
              </w:tc>
              <w:tc>
                <w:tcPr>
                  <w:tcW w:w="3529" w:type="dxa"/>
                </w:tcPr>
                <w:p w:rsidR="00CF7FB2" w:rsidRPr="00306612" w:rsidRDefault="00CF7FB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11.02.2020 год</w:t>
                  </w:r>
                </w:p>
              </w:tc>
              <w:tc>
                <w:tcPr>
                  <w:tcW w:w="3864" w:type="dxa"/>
                </w:tcPr>
                <w:p w:rsidR="00306612" w:rsidRPr="00306612" w:rsidRDefault="00306612" w:rsidP="00CF7FB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Алибекова</w:t>
                  </w:r>
                  <w:proofErr w:type="spellEnd"/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З.Н.</w:t>
                  </w:r>
                </w:p>
              </w:tc>
              <w:tc>
                <w:tcPr>
                  <w:tcW w:w="3761" w:type="dxa"/>
                </w:tcPr>
                <w:p w:rsidR="00306612" w:rsidRPr="00306612" w:rsidRDefault="00306612" w:rsidP="00306612">
                  <w:pPr>
                    <w:spacing w:after="0" w:line="240" w:lineRule="atLeast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Диплом 1 степени</w:t>
                  </w:r>
                </w:p>
              </w:tc>
            </w:tr>
            <w:tr w:rsidR="00306612" w:rsidRPr="00306612" w:rsidTr="00811F22">
              <w:tc>
                <w:tcPr>
                  <w:tcW w:w="14850" w:type="dxa"/>
                  <w:gridSpan w:val="4"/>
                </w:tcPr>
                <w:p w:rsidR="00306612" w:rsidRPr="00306612" w:rsidRDefault="00306612" w:rsidP="00CF7FB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6612" w:rsidRPr="00306612" w:rsidTr="00CF7FB2">
              <w:tc>
                <w:tcPr>
                  <w:tcW w:w="3696" w:type="dxa"/>
                </w:tcPr>
                <w:p w:rsidR="00306612" w:rsidRPr="00306612" w:rsidRDefault="00CF7FB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2 всероссийская олимпиада по ПДД</w:t>
                  </w:r>
                  <w:r w:rsidR="00306612"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за подготовку призера</w:t>
                  </w:r>
                  <w:bookmarkStart w:id="0" w:name="_GoBack"/>
                  <w:bookmarkEnd w:id="0"/>
                </w:p>
              </w:tc>
              <w:tc>
                <w:tcPr>
                  <w:tcW w:w="3529" w:type="dxa"/>
                </w:tcPr>
                <w:p w:rsidR="00306612" w:rsidRPr="00306612" w:rsidRDefault="00CF7FB2" w:rsidP="00306612">
                  <w:pPr>
                    <w:tabs>
                      <w:tab w:val="left" w:pos="729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30.01.2020 </w:t>
                  </w:r>
                  <w:r w:rsidR="00306612"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864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Алимерденова</w:t>
                  </w:r>
                  <w:proofErr w:type="spellEnd"/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Л.Н.</w:t>
                  </w:r>
                </w:p>
              </w:tc>
              <w:tc>
                <w:tcPr>
                  <w:tcW w:w="3761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Благодарственное письмо</w:t>
                  </w:r>
                </w:p>
              </w:tc>
            </w:tr>
            <w:tr w:rsidR="00306612" w:rsidRPr="00306612" w:rsidTr="00811F22">
              <w:tc>
                <w:tcPr>
                  <w:tcW w:w="14850" w:type="dxa"/>
                  <w:gridSpan w:val="4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Муниципальный уровень</w:t>
                  </w:r>
                </w:p>
              </w:tc>
            </w:tr>
            <w:tr w:rsidR="00306612" w:rsidRPr="00306612" w:rsidTr="00CF7FB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29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64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61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6612" w:rsidRPr="00306612" w:rsidTr="00CF7FB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29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64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61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06612" w:rsidRPr="00306612" w:rsidRDefault="00306612" w:rsidP="0030661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612">
              <w:rPr>
                <w:rFonts w:ascii="Times New Roman" w:eastAsia="Calibri" w:hAnsi="Times New Roman" w:cs="Times New Roman"/>
                <w:sz w:val="28"/>
                <w:szCs w:val="28"/>
              </w:rPr>
              <w:t>3 Результативность участия обучающихся образовательных учреждений в конкурсах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58"/>
              <w:gridCol w:w="2141"/>
              <w:gridCol w:w="2255"/>
              <w:gridCol w:w="2114"/>
            </w:tblGrid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Конкурс </w:t>
                  </w: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Дата проведения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Участники (по – фамильно) 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Результат </w:t>
                  </w:r>
                </w:p>
              </w:tc>
            </w:tr>
            <w:tr w:rsidR="00306612" w:rsidRPr="00306612" w:rsidTr="00811F22">
              <w:tc>
                <w:tcPr>
                  <w:tcW w:w="14786" w:type="dxa"/>
                  <w:gridSpan w:val="4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Международный уровень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«Зимняя фантазия</w:t>
                  </w: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22.12.2019 г.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Байрамов </w:t>
                  </w: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Далгат</w:t>
                  </w:r>
                  <w:proofErr w:type="spellEnd"/>
                  <w:r w:rsidRPr="003066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Тимурович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          Диплом 1 степени</w:t>
                  </w:r>
                </w:p>
              </w:tc>
            </w:tr>
            <w:tr w:rsidR="00306612" w:rsidRPr="00306612" w:rsidTr="00811F22">
              <w:tc>
                <w:tcPr>
                  <w:tcW w:w="14786" w:type="dxa"/>
                  <w:gridSpan w:val="4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Всероссийский уровень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CF7FB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«2 всероссийская олимпиада по ПДД</w:t>
                  </w:r>
                  <w:r w:rsidR="00306612"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3696" w:type="dxa"/>
                </w:tcPr>
                <w:p w:rsidR="00306612" w:rsidRPr="00306612" w:rsidRDefault="00CF7FB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30.01.2020</w:t>
                  </w:r>
                  <w:r w:rsidR="00306612"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3697" w:type="dxa"/>
                </w:tcPr>
                <w:p w:rsidR="00306612" w:rsidRPr="00306612" w:rsidRDefault="00CF7FB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Ахмедова А.Д.</w:t>
                  </w:r>
                  <w:r w:rsidR="00306612"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697" w:type="dxa"/>
                </w:tcPr>
                <w:p w:rsidR="00306612" w:rsidRPr="00306612" w:rsidRDefault="00CF7FB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Диплом 3</w:t>
                  </w:r>
                  <w:r w:rsidR="00306612"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степени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«Осенний балл»</w:t>
                  </w: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19.09.2019 год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Тагиева </w:t>
                  </w: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Хадижа</w:t>
                  </w:r>
                  <w:proofErr w:type="spellEnd"/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Диплом 3степени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«Осенний балл»</w:t>
                  </w: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19.09.2019 год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Шабанов Мухаммад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Диплом 3 степени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«Осенний балл»</w:t>
                  </w: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19.09.2019 год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Чобанов</w:t>
                  </w:r>
                  <w:proofErr w:type="spellEnd"/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Исмаил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Диплом 2 степени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«Осенний балл»</w:t>
                  </w: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19.09.2019 год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Чобанова</w:t>
                  </w:r>
                  <w:proofErr w:type="spellEnd"/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Аиша</w:t>
                  </w:r>
                  <w:proofErr w:type="spellEnd"/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Диплом 1 степени</w:t>
                  </w:r>
                </w:p>
              </w:tc>
            </w:tr>
            <w:tr w:rsidR="00306612" w:rsidRPr="00306612" w:rsidTr="00811F22">
              <w:trPr>
                <w:trHeight w:val="483"/>
              </w:trPr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«Осенний балл»</w:t>
                  </w: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19.09.2019 год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Ахмедова </w:t>
                  </w: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Арианна</w:t>
                  </w:r>
                  <w:proofErr w:type="spellEnd"/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Сертификат участника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«Литературный вернисаж»</w:t>
                  </w: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15.10.2019 год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Аликберова</w:t>
                  </w:r>
                  <w:proofErr w:type="spellEnd"/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Амина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Диплом 2 </w:t>
                  </w:r>
                  <w:proofErr w:type="gramStart"/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степен и</w:t>
                  </w:r>
                  <w:proofErr w:type="gramEnd"/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«Литературный вернисаж»</w:t>
                  </w: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15.10.2019 год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Магомедов </w:t>
                  </w: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Магомедвели</w:t>
                  </w:r>
                  <w:proofErr w:type="spellEnd"/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Диплом 2 степени - призер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«Время знаний»</w:t>
                  </w: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16.12.2019 год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Керимова Тамила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Диплом 1 степени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«Время знаний»</w:t>
                  </w: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16.12.2019 год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Муслимова</w:t>
                  </w:r>
                  <w:proofErr w:type="spellEnd"/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Амина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Диплом 1 степени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«</w:t>
                  </w: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Даутесса</w:t>
                  </w:r>
                  <w:proofErr w:type="spellEnd"/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11.12.2019 год</w:t>
                  </w: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Эседуллаева</w:t>
                  </w:r>
                  <w:proofErr w:type="spellEnd"/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Зухра</w:t>
                  </w:r>
                  <w:proofErr w:type="spellEnd"/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Диплом 1 место</w:t>
                  </w:r>
                </w:p>
              </w:tc>
            </w:tr>
            <w:tr w:rsidR="00306612" w:rsidRPr="00306612" w:rsidTr="00811F22">
              <w:tc>
                <w:tcPr>
                  <w:tcW w:w="14786" w:type="dxa"/>
                  <w:gridSpan w:val="4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Региональный уровень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tabs>
                      <w:tab w:val="left" w:pos="278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06612" w:rsidRPr="00306612" w:rsidTr="00811F22">
              <w:tc>
                <w:tcPr>
                  <w:tcW w:w="14786" w:type="dxa"/>
                  <w:gridSpan w:val="4"/>
                </w:tcPr>
                <w:p w:rsidR="00306612" w:rsidRPr="00306612" w:rsidRDefault="00306612" w:rsidP="003066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0661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Муниципальный уровень</w:t>
                  </w:r>
                </w:p>
              </w:tc>
            </w:tr>
            <w:tr w:rsidR="00306612" w:rsidRPr="00306612" w:rsidTr="00811F22"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96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97" w:type="dxa"/>
                </w:tcPr>
                <w:p w:rsidR="00306612" w:rsidRPr="00306612" w:rsidRDefault="00306612" w:rsidP="003066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Кадровый потенциал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Наш детский сад укомплектован педагогическими кадрами на 100 %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В настоящее время педагогический коллектив </w:t>
            </w:r>
            <w:r w:rsidR="00F1042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состоит из 29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педагогов: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Из них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</w:t>
            </w:r>
            <w:r w:rsidR="00F1042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старший воспитатель Сафарова И.Г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;</w:t>
            </w:r>
          </w:p>
          <w:p w:rsidR="00893218" w:rsidRPr="00306612" w:rsidRDefault="00F1042C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-учитель-логопед Керимова Г.И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;</w:t>
            </w:r>
          </w:p>
          <w:p w:rsidR="00893218" w:rsidRPr="00306612" w:rsidRDefault="00F1042C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-педагог-психолог Азизова Б.М.</w:t>
            </w:r>
          </w:p>
          <w:p w:rsidR="00F1042C" w:rsidRPr="00306612" w:rsidRDefault="00F1042C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физруководитель</w:t>
            </w:r>
            <w:proofErr w:type="spell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Гусейнова Л.Т.</w:t>
            </w:r>
          </w:p>
          <w:p w:rsidR="00893218" w:rsidRPr="00306612" w:rsidRDefault="00F1042C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музыкальный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руководител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ь Курбанова В.И.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музык</w:t>
            </w:r>
            <w:r w:rsidR="00743FC0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альный руководител</w:t>
            </w:r>
            <w:proofErr w:type="gramStart"/>
            <w:r w:rsidR="00743FC0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ь-</w:t>
            </w:r>
            <w:proofErr w:type="gramEnd"/>
            <w:r w:rsidR="00743FC0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43FC0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Гюльбеко</w:t>
            </w:r>
            <w:r w:rsidR="00F1042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</w:t>
            </w:r>
            <w:proofErr w:type="spellEnd"/>
            <w:r w:rsidR="00F1042C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Ш.У.; 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</w:p>
          <w:p w:rsidR="00893218" w:rsidRPr="00306612" w:rsidRDefault="00F1042C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- 23 воспитателя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 Педагоги дошкольного учреждения постоянно совершенствуют свое педагогическое мастерство, используя различные формы: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Самообразовани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е(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все педагоги имеют индивидуальную программу самообразования)</w:t>
            </w:r>
          </w:p>
          <w:p w:rsidR="00893218" w:rsidRPr="00306612" w:rsidRDefault="00690A27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Участие в деятельности городских</w:t>
            </w:r>
            <w:r w:rsidR="00893218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методических объединений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Курсы повышения</w:t>
            </w:r>
            <w:r w:rsidR="00690A27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квалификации на базе ДИПКП 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-100%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Образовательный ценз педагогов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2"/>
              <w:gridCol w:w="1994"/>
            </w:tblGrid>
            <w:tr w:rsidR="00893218" w:rsidRPr="00306612" w:rsidTr="00A850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Среднее профессиональное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Высшее</w:t>
                  </w:r>
                </w:p>
              </w:tc>
            </w:tr>
            <w:tr w:rsidR="00893218" w:rsidRPr="00306612" w:rsidTr="00A850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743FC0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</w:t>
                  </w:r>
                  <w:r w:rsidR="00893218"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человек- 65%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743FC0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  <w:r w:rsidR="00893218"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человек- 35%</w:t>
                  </w:r>
                </w:p>
              </w:tc>
            </w:tr>
          </w:tbl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Стаж педагогической деятельности</w:t>
            </w:r>
          </w:p>
          <w:tbl>
            <w:tblPr>
              <w:tblW w:w="702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1338"/>
              <w:gridCol w:w="1744"/>
              <w:gridCol w:w="1205"/>
              <w:gridCol w:w="1205"/>
              <w:gridCol w:w="1428"/>
            </w:tblGrid>
            <w:tr w:rsidR="00893218" w:rsidRPr="00306612" w:rsidTr="00A850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от 1 до 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 от 5 до 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от10 до 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от15 до 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более 20 лет</w:t>
                  </w:r>
                </w:p>
              </w:tc>
            </w:tr>
            <w:tr w:rsidR="00893218" w:rsidRPr="00306612" w:rsidTr="00A850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893218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6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A33296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A33296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3218" w:rsidRPr="00306612" w:rsidRDefault="00A33296" w:rsidP="00A8505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</w:tr>
          </w:tbl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Финансово – экономическая хозяйственная деятельность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    Одним из важных условий для улучшения качества образовательного процесса является эффективное использование финансовых потоков. Наше образовательное учреждение финансируются из бюджетных средств города, которые ежегодно выделяются на основании муниципального задания 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согласно плана</w:t>
            </w:r>
            <w:proofErr w:type="gramEnd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финансово-хозяйственной деятельности, что позволяет обеспечивать стабильное функционирование и развитие. Административно – хозяйственная работа в учреждении в первую очередь была направлена на обеспечение жизнедеятельности учреждения, создание безопасных условий для ведения образовательного процесса, создание и укрепление материально технической базы. Для бесперебойного функционирования учреждения своевременно с начала текущего года заключены договоры на коммунальные услуги, услуги по содержанию учреждения, поставку и приобретение товаров, продуктов 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питания.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Заключение и планы развития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заключении хочется сказать, что в нашем детском саду работоспособный, творческий коллектив</w:t>
            </w:r>
            <w:r w:rsidR="00690A27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 поисковом режиме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 имеются необходимые условия для проведения образовательной работы с детьми на современном </w:t>
            </w:r>
            <w:r w:rsidR="00690A27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инновационном 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уровне.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      </w:t>
            </w:r>
            <w:r w:rsidRPr="00306612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Основными направлениями и задач</w:t>
            </w:r>
            <w:r w:rsidR="00690A27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ами ближайшего развития МБДОУ детский сад № 28 «Дельфин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» в соответствии Программой развития определены: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·        Повышение профессиональной компетентности педагогов в вопросах организации образовательной деятельности в соответствии с новым 273- ФЗ «Об образовании в Российской Федерации», ФГОС дошкольного образования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·        Дальнейшее оснащение РПП в соответствии с ФГОС 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ДО</w:t>
            </w:r>
            <w:proofErr w:type="gramEnd"/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·        Дальнейшая информатизация образовательного пространства ДОУ.</w:t>
            </w:r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·        Активное участие в социально-значимых мероприятиях, конкурсах, грантах, проектной и экспериментальной деятельности.</w:t>
            </w:r>
          </w:p>
          <w:p w:rsidR="00893218" w:rsidRPr="00306612" w:rsidRDefault="00893218" w:rsidP="00690A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·        Дальнейшее развитие  дополнительных образовательных  услуг</w:t>
            </w:r>
            <w:proofErr w:type="gramStart"/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="00690A27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  <w:proofErr w:type="gramEnd"/>
          </w:p>
          <w:p w:rsidR="00893218" w:rsidRPr="00306612" w:rsidRDefault="00893218" w:rsidP="00A85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  Педагогический коллектив нашего учреждения благодарит родительскую общественность за п</w:t>
            </w:r>
            <w:r w:rsidR="00690A27"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онимание и сотрудничество в 2020</w:t>
            </w:r>
            <w:r w:rsidRPr="003066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году и надеется на дальнейшее плодотворное взаимодействие во благо наших детей.</w:t>
            </w:r>
          </w:p>
          <w:p w:rsidR="00893218" w:rsidRPr="005869E0" w:rsidRDefault="00893218" w:rsidP="00A8505D">
            <w:pPr>
              <w:spacing w:after="150" w:line="240" w:lineRule="auto"/>
              <w:jc w:val="center"/>
              <w:rPr>
                <w:rFonts w:ascii="Verdana" w:eastAsia="Times New Roman" w:hAnsi="Verdana" w:cs="Tahoma"/>
                <w:color w:val="404040"/>
                <w:sz w:val="20"/>
                <w:szCs w:val="20"/>
                <w:lang w:eastAsia="ru-RU"/>
              </w:rPr>
            </w:pPr>
            <w:r w:rsidRPr="0030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С уважением колле</w:t>
            </w:r>
            <w:r w:rsidR="00690A27" w:rsidRPr="0030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ктив детского сада №28 «Дельфин</w:t>
            </w:r>
            <w:r w:rsidRPr="0030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»!</w:t>
            </w:r>
          </w:p>
        </w:tc>
        <w:tc>
          <w:tcPr>
            <w:tcW w:w="452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"/>
            </w:tblGrid>
            <w:tr w:rsidR="00893218" w:rsidRPr="005869E0" w:rsidTr="00A8505D">
              <w:trPr>
                <w:tblCellSpacing w:w="0" w:type="dxa"/>
              </w:trPr>
              <w:tc>
                <w:tcPr>
                  <w:tcW w:w="6" w:type="dxa"/>
                  <w:hideMark/>
                </w:tcPr>
                <w:p w:rsidR="00893218" w:rsidRPr="005869E0" w:rsidRDefault="00893218" w:rsidP="00A850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3218" w:rsidRPr="005869E0" w:rsidTr="00A8505D">
              <w:trPr>
                <w:trHeight w:val="31680"/>
                <w:tblCellSpacing w:w="0" w:type="dxa"/>
              </w:trPr>
              <w:tc>
                <w:tcPr>
                  <w:tcW w:w="6" w:type="dxa"/>
                  <w:tcMar>
                    <w:top w:w="45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:rsidR="00893218" w:rsidRPr="005869E0" w:rsidRDefault="00893218" w:rsidP="00A850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93218" w:rsidRPr="005869E0" w:rsidRDefault="00893218" w:rsidP="00A850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93218" w:rsidRPr="005869E0" w:rsidTr="00A8505D">
        <w:trPr>
          <w:trHeight w:val="15"/>
          <w:tblCellSpacing w:w="0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225" w:type="dxa"/>
            </w:tcMar>
            <w:vAlign w:val="bottom"/>
            <w:hideMark/>
          </w:tcPr>
          <w:p w:rsidR="00893218" w:rsidRPr="005869E0" w:rsidRDefault="00893218" w:rsidP="00A8505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"/>
                <w:szCs w:val="20"/>
                <w:lang w:eastAsia="ru-RU"/>
              </w:rPr>
            </w:pPr>
          </w:p>
        </w:tc>
      </w:tr>
    </w:tbl>
    <w:p w:rsidR="000C6CA4" w:rsidRPr="000C6CA4" w:rsidRDefault="000C6CA4">
      <w:pPr>
        <w:rPr>
          <w:b/>
          <w:color w:val="000000" w:themeColor="text1"/>
          <w:sz w:val="36"/>
          <w:szCs w:val="36"/>
        </w:rPr>
      </w:pPr>
    </w:p>
    <w:sectPr w:rsidR="000C6CA4" w:rsidRPr="000C6CA4" w:rsidSect="003B5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20493"/>
    <w:multiLevelType w:val="multilevel"/>
    <w:tmpl w:val="6D96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056D7B"/>
    <w:multiLevelType w:val="multilevel"/>
    <w:tmpl w:val="9140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7F1"/>
    <w:rsid w:val="000B57DB"/>
    <w:rsid w:val="000C6CA4"/>
    <w:rsid w:val="001847F1"/>
    <w:rsid w:val="00306612"/>
    <w:rsid w:val="0038553C"/>
    <w:rsid w:val="0038653E"/>
    <w:rsid w:val="003B598D"/>
    <w:rsid w:val="00690A27"/>
    <w:rsid w:val="00696FDD"/>
    <w:rsid w:val="007238EA"/>
    <w:rsid w:val="00743FC0"/>
    <w:rsid w:val="00893218"/>
    <w:rsid w:val="008B68F1"/>
    <w:rsid w:val="00A32DAE"/>
    <w:rsid w:val="00A33296"/>
    <w:rsid w:val="00AC21FD"/>
    <w:rsid w:val="00BA215B"/>
    <w:rsid w:val="00BD5DD4"/>
    <w:rsid w:val="00C12461"/>
    <w:rsid w:val="00C222AD"/>
    <w:rsid w:val="00CB31F0"/>
    <w:rsid w:val="00CF7FB2"/>
    <w:rsid w:val="00F10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2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8553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CB31F0"/>
    <w:rPr>
      <w:rFonts w:ascii="Times New Roman" w:eastAsia="Times New Roman" w:hAnsi="Times New Roman" w:cs="Times New Roman"/>
      <w:sz w:val="46"/>
      <w:szCs w:val="4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31F0"/>
    <w:pPr>
      <w:widowControl w:val="0"/>
      <w:shd w:val="clear" w:color="auto" w:fill="FFFFFF"/>
      <w:spacing w:after="0" w:line="792" w:lineRule="exact"/>
      <w:ind w:hanging="640"/>
      <w:jc w:val="both"/>
    </w:pPr>
    <w:rPr>
      <w:rFonts w:ascii="Times New Roman" w:eastAsia="Times New Roman" w:hAnsi="Times New Roman" w:cs="Times New Roman"/>
      <w:sz w:val="46"/>
      <w:szCs w:val="4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28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ag-28-de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55D2F-98F6-4796-A619-D4B88441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17</Pages>
  <Words>4302</Words>
  <Characters>24526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2021-04-14T13:07:00Z</dcterms:created>
  <dcterms:modified xsi:type="dcterms:W3CDTF">2021-04-20T09:58:00Z</dcterms:modified>
</cp:coreProperties>
</file>